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567"/>
        <w:jc w:val="both"/>
        <w:shd w:val="clear" w:color="auto" w:fill="ffffff"/>
        <w:tabs>
          <w:tab w:val="left" w:pos="6804" w:leader="none"/>
        </w:tabs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</w:r>
      <w:r>
        <w:rPr>
          <w:b/>
          <w:color w:val="000000"/>
          <w:sz w:val="24"/>
          <w:szCs w:val="24"/>
        </w:rPr>
      </w:r>
      <w:r>
        <w:rPr>
          <w:b/>
          <w:color w:val="000000"/>
          <w:sz w:val="24"/>
          <w:szCs w:val="24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Информация об условиях, на которых осуществляется поставка товаров (оказание услуг)</w:t>
      </w:r>
      <w:r>
        <w:rPr>
          <w:b/>
          <w:sz w:val="24"/>
          <w:szCs w:val="24"/>
        </w:rPr>
        <w:t xml:space="preserve">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both"/>
        <w:rPr>
          <w:b/>
          <w:bCs/>
          <w:color w:val="000000"/>
          <w:sz w:val="24"/>
          <w:szCs w:val="24"/>
        </w:rPr>
        <w:sectPr>
          <w:footnotePr/>
          <w:endnotePr>
            <w:numFmt w:val="chicago"/>
          </w:endnotePr>
          <w:type w:val="nextPage"/>
          <w:pgSz w:w="11906" w:h="16838" w:orient="portrait"/>
          <w:pgMar w:top="709" w:right="707" w:bottom="568" w:left="993" w:header="708" w:footer="708" w:gutter="0"/>
          <w:cols w:num="1" w:sep="0" w:space="708" w:equalWidth="1"/>
          <w:docGrid w:linePitch="360"/>
        </w:sectPr>
      </w:pPr>
      <w:r>
        <w:rPr>
          <w:b/>
          <w:sz w:val="24"/>
          <w:szCs w:val="24"/>
        </w:rPr>
        <w:t xml:space="preserve">С</w:t>
      </w:r>
      <w:r>
        <w:rPr>
          <w:b/>
          <w:sz w:val="24"/>
          <w:szCs w:val="24"/>
        </w:rPr>
        <w:t xml:space="preserve">ведения об условиях публичных договоров поставок регулируемых товаров (оказания регулируемых услуг), а также сведения о договорах, заключенных в соответствии с частями 2.1 и 2.2 статьи 8 Федерал</w:t>
      </w:r>
      <w:r>
        <w:rPr>
          <w:b/>
          <w:sz w:val="24"/>
          <w:szCs w:val="24"/>
        </w:rPr>
        <w:t xml:space="preserve">ьного закона «О теплоснабжении», а также сведения </w:t>
      </w:r>
      <w:r>
        <w:rPr>
          <w:b/>
          <w:bCs/>
          <w:color w:val="000000"/>
          <w:sz w:val="24"/>
          <w:szCs w:val="24"/>
        </w:rPr>
        <w:t xml:space="preserve">договор</w:t>
      </w:r>
      <w:r>
        <w:rPr>
          <w:b/>
          <w:bCs/>
          <w:color w:val="000000"/>
          <w:sz w:val="24"/>
          <w:szCs w:val="24"/>
        </w:rPr>
        <w:t xml:space="preserve">ов</w:t>
      </w:r>
      <w:r>
        <w:rPr>
          <w:b/>
          <w:bCs/>
          <w:color w:val="000000"/>
          <w:sz w:val="24"/>
          <w:szCs w:val="24"/>
        </w:rPr>
        <w:t xml:space="preserve"> о подключени</w:t>
      </w:r>
      <w:r>
        <w:rPr>
          <w:b/>
          <w:bCs/>
          <w:color w:val="000000"/>
          <w:sz w:val="24"/>
          <w:szCs w:val="24"/>
        </w:rPr>
        <w:t xml:space="preserve">и</w:t>
      </w:r>
      <w:r>
        <w:rPr>
          <w:b/>
          <w:bCs/>
          <w:color w:val="000000"/>
          <w:sz w:val="24"/>
          <w:szCs w:val="24"/>
        </w:rPr>
        <w:t xml:space="preserve"> (технологическом присоединении) к системе теплоснабжения</w:t>
      </w:r>
      <w:r>
        <w:rPr>
          <w:rStyle w:val="849"/>
          <w:b/>
          <w:bCs/>
          <w:color w:val="000000"/>
          <w:sz w:val="24"/>
          <w:szCs w:val="24"/>
        </w:rPr>
        <w:endnoteReference w:id="2"/>
      </w: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</w:p>
    <w:p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spacing w:after="24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Информация об условиях договоров поставки тепловой энергии.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Условия договора теплоснабжения определены: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Гражданским кодексом РФ, Жилищным кодексом РФ, Федеральными законами РФ от 27.07.2010 №190-ФЗ «О теплоснабжении», от 23.11.2009 №261-ФЗ «Об энергосбережении и повышении эне</w:t>
      </w:r>
      <w:r>
        <w:rPr>
          <w:sz w:val="24"/>
          <w:szCs w:val="24"/>
        </w:rPr>
        <w:t xml:space="preserve">ргетической эффективности и о внесении изменений в отдельные законодательные акты Российской Федерации», «Правилами организации теплоснабжения в Российской Федерации», утвержденными постановлением Правительства РФ от 08.08.2012 № 808, «Правилами коммерческ</w:t>
      </w:r>
      <w:r>
        <w:rPr>
          <w:sz w:val="24"/>
          <w:szCs w:val="24"/>
        </w:rPr>
        <w:t xml:space="preserve">ого учета тепловой энергии, теплоносителя», утвержденными постановлением Правительства РФ от 18.11.2013 № 1034, постановлениями уполномоченных органов субъектов Российской Федерации об установлении тарифов на тепловую энергию, теплоноситель и горячую воду;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Дополнительно для абонентов, финансируемых из бюджетов различных уровней – Федеральным законом РФ от 05.04.2013 №44-ФЗ «О контрактной системе в сфере закупок товаров, работ услуг для обеспечения государственных и муниципальных нужд»;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Дополнительно для организаций, осуществляющих предоставление коммунальных услуг собств</w:t>
      </w:r>
      <w:r>
        <w:rPr>
          <w:sz w:val="24"/>
          <w:szCs w:val="24"/>
        </w:rPr>
        <w:t xml:space="preserve">енникам и пользователям многоквартирных и жилых домов - «Правилами, обязательными при заключении управляющей организацией или товариществом собственников жилья либо жилищным кооперативом или иным специализированным потребительским кооперативом договоров с </w:t>
      </w:r>
      <w:r>
        <w:rPr>
          <w:sz w:val="24"/>
          <w:szCs w:val="24"/>
        </w:rPr>
        <w:t xml:space="preserve">ресурсоснабжающими</w:t>
      </w:r>
      <w:r>
        <w:rPr>
          <w:sz w:val="24"/>
          <w:szCs w:val="24"/>
        </w:rPr>
        <w:t xml:space="preserve"> организациями»,</w:t>
      </w:r>
      <w:r>
        <w:rPr>
          <w:sz w:val="24"/>
          <w:szCs w:val="24"/>
        </w:rPr>
        <w:t xml:space="preserve"> утвержденными постановлением Правительства РФ от 14.02.2012 №124; «Правилами предоставления коммунальных услуг собственникам и пользователям помещений в многоквартирных домах и жилых домов», утвержденных постановлением Правительства РФ от 06.05.2011 №354.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firstLine="567"/>
        <w:jc w:val="both"/>
        <w:spacing w:after="120"/>
        <w:widowControl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Для заключения договора потребителю необходимо подать заявку в соответствующий филиал э</w:t>
      </w:r>
      <w:r>
        <w:rPr>
          <w:bCs/>
          <w:sz w:val="24"/>
          <w:szCs w:val="24"/>
        </w:rPr>
        <w:t xml:space="preserve">нергосбыта</w:t>
      </w:r>
      <w:r>
        <w:rPr>
          <w:bCs/>
          <w:sz w:val="24"/>
          <w:szCs w:val="24"/>
        </w:rPr>
        <w:t xml:space="preserve"> ПАО «ДЭК»</w:t>
      </w:r>
      <w:r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contextualSpacing/>
        <w:ind w:firstLine="567"/>
        <w:jc w:val="both"/>
        <w:spacing w:after="120"/>
        <w:widowControl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 АО «ДГК» разработаны типовые формы договоров теплоснабжения.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contextualSpacing/>
        <w:ind w:firstLine="567"/>
        <w:jc w:val="both"/>
        <w:spacing w:after="120"/>
        <w:widowControl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АО «ДГК» является полностью регулируемой организацией. Договоров теплоснабжения с ценами (тарифами) определенными соглашением сторон (часть 2.1 и 2.2 статьи 8 Федерального закона «О теплоснабжении») не имеет.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jc w:val="center"/>
        <w:spacing w:after="24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Информация об условиях договоров о подключении (технологическом </w:t>
      </w:r>
      <w:r>
        <w:rPr>
          <w:b/>
          <w:sz w:val="24"/>
          <w:szCs w:val="24"/>
        </w:rPr>
        <w:t xml:space="preserve">присоединении)  к</w:t>
      </w:r>
      <w:r>
        <w:rPr>
          <w:b/>
          <w:sz w:val="24"/>
          <w:szCs w:val="24"/>
        </w:rPr>
        <w:t xml:space="preserve"> системе теплоснабжения.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567"/>
        <w:jc w:val="both"/>
        <w:shd w:val="clear" w:color="auto" w:fill="ffff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Технические мероприятия по подключению осуществляются только на основании договора о подключении</w:t>
      </w:r>
      <w:r>
        <w:rPr>
          <w:color w:val="000000"/>
          <w:sz w:val="24"/>
          <w:szCs w:val="24"/>
        </w:rPr>
        <w:t xml:space="preserve">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567"/>
        <w:jc w:val="both"/>
        <w:shd w:val="clear" w:color="auto" w:fill="ffff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Договор о подключении должен содержать следующие существенные условия: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567"/>
        <w:jc w:val="both"/>
        <w:shd w:val="clear" w:color="auto" w:fill="ffffff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а) перечень мероприятий по подключению объекта к системе </w:t>
      </w:r>
      <w:r>
        <w:rPr>
          <w:sz w:val="24"/>
          <w:szCs w:val="24"/>
        </w:rPr>
        <w:t xml:space="preserve">теплоснабжения и обязательства сторон по их выполнению, в том числе в части разработки проекта по теплоснабжению объекта от точки подключения до земельного участка с определением.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  <w:t xml:space="preserve">б) срок подключения;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  <w:t xml:space="preserve">в) размер платы за подключение;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  <w:t xml:space="preserve">г) порядок и сроки внесения заявителем платы за подключение;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  <w:t xml:space="preserve">д) размер и виды тепловой нагрузки подключаемого объекта;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  <w:t xml:space="preserve">е) местоположение точек подключения;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  <w:t xml:space="preserve">ж) условия и порядок подключения внутриплощадочных и (или) внутридомовых сетей и оборудования подключаемого объекта к системе теплоснабжения.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67"/>
        <w:jc w:val="both"/>
        <w:shd w:val="clear" w:color="auto" w:fill="ffff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з) обязательства заявителя по оборудованию подключаемого объекта приборами учета тепловой энергии и теплоносителя;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567"/>
        <w:jc w:val="both"/>
        <w:shd w:val="clear" w:color="auto" w:fill="ffff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и) ответственность сторон за неисполнение либо за ненадлежащее исполнение договора о подключении;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567"/>
        <w:jc w:val="both"/>
        <w:shd w:val="clear" w:color="auto" w:fill="ffff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к) право заявителя в одностороннем порядке отказаться от исполнения договора о подключении при нарушении исполнителем сроков исполнения обязательств, указанных в договоре.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567"/>
        <w:jc w:val="both"/>
        <w:shd w:val="clear" w:color="auto" w:fill="ffffff"/>
        <w:tabs>
          <w:tab w:val="left" w:pos="6804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Договоры о подключении оформляются: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567"/>
        <w:jc w:val="both"/>
        <w:shd w:val="clear" w:color="auto" w:fill="ffffff"/>
        <w:tabs>
          <w:tab w:val="left" w:pos="6804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– филиалом при нагрузке подключаемого объекта </w:t>
      </w:r>
      <w:r>
        <w:rPr>
          <w:color w:val="000000"/>
          <w:sz w:val="24"/>
          <w:szCs w:val="24"/>
          <w:u w:val="single"/>
        </w:rPr>
        <w:t xml:space="preserve">менее </w:t>
      </w:r>
      <w:r>
        <w:rPr>
          <w:color w:val="000000"/>
          <w:sz w:val="24"/>
          <w:szCs w:val="24"/>
          <w:u w:val="single"/>
        </w:rPr>
        <w:t xml:space="preserve">1,5</w:t>
      </w:r>
      <w:r>
        <w:rPr>
          <w:color w:val="000000"/>
          <w:sz w:val="24"/>
          <w:szCs w:val="24"/>
          <w:u w:val="single"/>
        </w:rPr>
        <w:t xml:space="preserve"> Гкал/ч</w:t>
      </w:r>
      <w:r>
        <w:rPr>
          <w:color w:val="000000"/>
          <w:sz w:val="24"/>
          <w:szCs w:val="24"/>
        </w:rPr>
        <w:t xml:space="preserve">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567"/>
        <w:jc w:val="both"/>
        <w:shd w:val="clear" w:color="auto" w:fill="ffffff"/>
        <w:tabs>
          <w:tab w:val="left" w:pos="6804" w:leader="none"/>
        </w:tabs>
        <w:rPr>
          <w:b/>
          <w:color w:val="000000"/>
          <w:sz w:val="28"/>
          <w:szCs w:val="28"/>
        </w:rPr>
      </w:pPr>
      <w:r>
        <w:rPr>
          <w:color w:val="000000"/>
          <w:sz w:val="24"/>
          <w:szCs w:val="24"/>
        </w:rPr>
        <w:t xml:space="preserve">– исполнительным аппаратом АО «ДГК» при нагрузке подключаемого объекта </w:t>
      </w:r>
      <w:r>
        <w:rPr>
          <w:color w:val="000000"/>
          <w:sz w:val="24"/>
          <w:szCs w:val="24"/>
          <w:u w:val="single"/>
        </w:rPr>
        <w:t xml:space="preserve">равной или более </w:t>
      </w:r>
      <w:r>
        <w:rPr>
          <w:color w:val="000000"/>
          <w:sz w:val="24"/>
          <w:szCs w:val="24"/>
          <w:u w:val="single"/>
        </w:rPr>
        <w:t xml:space="preserve">1,5</w:t>
      </w:r>
      <w:r>
        <w:rPr>
          <w:color w:val="000000"/>
          <w:sz w:val="24"/>
          <w:szCs w:val="24"/>
          <w:u w:val="single"/>
        </w:rPr>
        <w:t xml:space="preserve"> Гкал/ч.</w:t>
      </w:r>
      <w:r>
        <w:rPr>
          <w:b/>
          <w:color w:val="000000"/>
          <w:sz w:val="28"/>
          <w:szCs w:val="28"/>
        </w:rPr>
      </w:r>
      <w:r>
        <w:rPr>
          <w:b/>
          <w:color w:val="000000"/>
          <w:sz w:val="28"/>
          <w:szCs w:val="28"/>
        </w:rPr>
      </w:r>
    </w:p>
    <w:p>
      <w:pPr>
        <w:jc w:val="both"/>
        <w:shd w:val="clear" w:color="auto" w:fill="ffffff"/>
        <w:tabs>
          <w:tab w:val="left" w:pos="6804" w:leader="none"/>
        </w:tabs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</w:r>
      <w:r>
        <w:rPr>
          <w:b/>
          <w:color w:val="000000"/>
          <w:sz w:val="24"/>
          <w:szCs w:val="24"/>
        </w:rPr>
      </w:r>
      <w:r>
        <w:rPr>
          <w:b/>
          <w:color w:val="000000"/>
          <w:sz w:val="24"/>
          <w:szCs w:val="24"/>
        </w:rPr>
      </w:r>
    </w:p>
    <w:p>
      <w:r/>
      <w:bookmarkStart w:id="0" w:name="_GoBack"/>
      <w:r/>
      <w:bookmarkEnd w:id="0"/>
      <w:r/>
      <w:r/>
    </w:p>
    <w:sectPr>
      <w:footnotePr/>
      <w:endnotePr>
        <w:numFmt w:val="chicago"/>
      </w:endnotePr>
      <w:type w:val="continuous"/>
      <w:pgSz w:w="11906" w:h="16838" w:orient="portrait"/>
      <w:pgMar w:top="709" w:right="850" w:bottom="568" w:left="1134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id="2">
    <w:p>
      <w:pPr>
        <w:pStyle w:val="847"/>
      </w:pPr>
      <w:r>
        <w:rPr>
          <w:rStyle w:val="849"/>
        </w:rPr>
        <w:endnoteRef/>
      </w:r>
      <w:r>
        <w:t xml:space="preserve"> </w:t>
      </w:r>
      <w:r>
        <w:t xml:space="preserve">АО «ДГК» осуществляет </w:t>
      </w:r>
      <w:r>
        <w:t xml:space="preserve">п</w:t>
      </w:r>
      <w:r>
        <w:t xml:space="preserve">одключение к системе горячего водоснабжения  в рамках подключения к системе теплоснабжения</w:t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chicago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7">
    <w:name w:val="Heading 1"/>
    <w:basedOn w:val="843"/>
    <w:next w:val="843"/>
    <w:link w:val="668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8">
    <w:name w:val="Heading 1 Char"/>
    <w:basedOn w:val="844"/>
    <w:link w:val="667"/>
    <w:uiPriority w:val="9"/>
    <w:rPr>
      <w:rFonts w:ascii="Arial" w:hAnsi="Arial" w:eastAsia="Arial" w:cs="Arial"/>
      <w:sz w:val="40"/>
      <w:szCs w:val="40"/>
    </w:rPr>
  </w:style>
  <w:style w:type="paragraph" w:styleId="669">
    <w:name w:val="Heading 2"/>
    <w:basedOn w:val="843"/>
    <w:next w:val="843"/>
    <w:link w:val="670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70">
    <w:name w:val="Heading 2 Char"/>
    <w:basedOn w:val="844"/>
    <w:link w:val="669"/>
    <w:uiPriority w:val="9"/>
    <w:rPr>
      <w:rFonts w:ascii="Arial" w:hAnsi="Arial" w:eastAsia="Arial" w:cs="Arial"/>
      <w:sz w:val="34"/>
    </w:rPr>
  </w:style>
  <w:style w:type="paragraph" w:styleId="671">
    <w:name w:val="Heading 3"/>
    <w:basedOn w:val="843"/>
    <w:next w:val="843"/>
    <w:link w:val="672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72">
    <w:name w:val="Heading 3 Char"/>
    <w:basedOn w:val="844"/>
    <w:link w:val="671"/>
    <w:uiPriority w:val="9"/>
    <w:rPr>
      <w:rFonts w:ascii="Arial" w:hAnsi="Arial" w:eastAsia="Arial" w:cs="Arial"/>
      <w:sz w:val="30"/>
      <w:szCs w:val="30"/>
    </w:rPr>
  </w:style>
  <w:style w:type="paragraph" w:styleId="673">
    <w:name w:val="Heading 4"/>
    <w:basedOn w:val="843"/>
    <w:next w:val="843"/>
    <w:link w:val="674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74">
    <w:name w:val="Heading 4 Char"/>
    <w:basedOn w:val="844"/>
    <w:link w:val="673"/>
    <w:uiPriority w:val="9"/>
    <w:rPr>
      <w:rFonts w:ascii="Arial" w:hAnsi="Arial" w:eastAsia="Arial" w:cs="Arial"/>
      <w:b/>
      <w:bCs/>
      <w:sz w:val="26"/>
      <w:szCs w:val="26"/>
    </w:rPr>
  </w:style>
  <w:style w:type="paragraph" w:styleId="675">
    <w:name w:val="Heading 5"/>
    <w:basedOn w:val="843"/>
    <w:next w:val="843"/>
    <w:link w:val="67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6">
    <w:name w:val="Heading 5 Char"/>
    <w:basedOn w:val="844"/>
    <w:link w:val="675"/>
    <w:uiPriority w:val="9"/>
    <w:rPr>
      <w:rFonts w:ascii="Arial" w:hAnsi="Arial" w:eastAsia="Arial" w:cs="Arial"/>
      <w:b/>
      <w:bCs/>
      <w:sz w:val="24"/>
      <w:szCs w:val="24"/>
    </w:rPr>
  </w:style>
  <w:style w:type="paragraph" w:styleId="677">
    <w:name w:val="Heading 6"/>
    <w:basedOn w:val="843"/>
    <w:next w:val="843"/>
    <w:link w:val="678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8">
    <w:name w:val="Heading 6 Char"/>
    <w:basedOn w:val="844"/>
    <w:link w:val="677"/>
    <w:uiPriority w:val="9"/>
    <w:rPr>
      <w:rFonts w:ascii="Arial" w:hAnsi="Arial" w:eastAsia="Arial" w:cs="Arial"/>
      <w:b/>
      <w:bCs/>
      <w:sz w:val="22"/>
      <w:szCs w:val="22"/>
    </w:rPr>
  </w:style>
  <w:style w:type="paragraph" w:styleId="679">
    <w:name w:val="Heading 7"/>
    <w:basedOn w:val="843"/>
    <w:next w:val="843"/>
    <w:link w:val="68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80">
    <w:name w:val="Heading 7 Char"/>
    <w:basedOn w:val="844"/>
    <w:link w:val="67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81">
    <w:name w:val="Heading 8"/>
    <w:basedOn w:val="843"/>
    <w:next w:val="843"/>
    <w:link w:val="682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82">
    <w:name w:val="Heading 8 Char"/>
    <w:basedOn w:val="844"/>
    <w:link w:val="681"/>
    <w:uiPriority w:val="9"/>
    <w:rPr>
      <w:rFonts w:ascii="Arial" w:hAnsi="Arial" w:eastAsia="Arial" w:cs="Arial"/>
      <w:i/>
      <w:iCs/>
      <w:sz w:val="22"/>
      <w:szCs w:val="22"/>
    </w:rPr>
  </w:style>
  <w:style w:type="paragraph" w:styleId="683">
    <w:name w:val="Heading 9"/>
    <w:basedOn w:val="843"/>
    <w:next w:val="843"/>
    <w:link w:val="68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4">
    <w:name w:val="Heading 9 Char"/>
    <w:basedOn w:val="844"/>
    <w:link w:val="683"/>
    <w:uiPriority w:val="9"/>
    <w:rPr>
      <w:rFonts w:ascii="Arial" w:hAnsi="Arial" w:eastAsia="Arial" w:cs="Arial"/>
      <w:i/>
      <w:iCs/>
      <w:sz w:val="21"/>
      <w:szCs w:val="21"/>
    </w:rPr>
  </w:style>
  <w:style w:type="paragraph" w:styleId="685">
    <w:name w:val="List Paragraph"/>
    <w:basedOn w:val="843"/>
    <w:uiPriority w:val="34"/>
    <w:qFormat/>
    <w:pPr>
      <w:contextualSpacing/>
      <w:ind w:left="720"/>
    </w:pPr>
  </w:style>
  <w:style w:type="paragraph" w:styleId="686">
    <w:name w:val="No Spacing"/>
    <w:uiPriority w:val="1"/>
    <w:qFormat/>
    <w:pPr>
      <w:spacing w:before="0" w:after="0" w:line="240" w:lineRule="auto"/>
    </w:pPr>
  </w:style>
  <w:style w:type="paragraph" w:styleId="687">
    <w:name w:val="Title"/>
    <w:basedOn w:val="843"/>
    <w:next w:val="843"/>
    <w:link w:val="68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8">
    <w:name w:val="Title Char"/>
    <w:basedOn w:val="844"/>
    <w:link w:val="687"/>
    <w:uiPriority w:val="10"/>
    <w:rPr>
      <w:sz w:val="48"/>
      <w:szCs w:val="48"/>
    </w:rPr>
  </w:style>
  <w:style w:type="paragraph" w:styleId="689">
    <w:name w:val="Subtitle"/>
    <w:basedOn w:val="843"/>
    <w:next w:val="843"/>
    <w:link w:val="690"/>
    <w:uiPriority w:val="11"/>
    <w:qFormat/>
    <w:pPr>
      <w:spacing w:before="200" w:after="200"/>
    </w:pPr>
    <w:rPr>
      <w:sz w:val="24"/>
      <w:szCs w:val="24"/>
    </w:rPr>
  </w:style>
  <w:style w:type="character" w:styleId="690">
    <w:name w:val="Subtitle Char"/>
    <w:basedOn w:val="844"/>
    <w:link w:val="689"/>
    <w:uiPriority w:val="11"/>
    <w:rPr>
      <w:sz w:val="24"/>
      <w:szCs w:val="24"/>
    </w:rPr>
  </w:style>
  <w:style w:type="paragraph" w:styleId="691">
    <w:name w:val="Quote"/>
    <w:basedOn w:val="843"/>
    <w:next w:val="843"/>
    <w:link w:val="692"/>
    <w:uiPriority w:val="29"/>
    <w:qFormat/>
    <w:pPr>
      <w:ind w:left="720" w:right="720"/>
    </w:pPr>
    <w:rPr>
      <w:i/>
    </w:rPr>
  </w:style>
  <w:style w:type="character" w:styleId="692">
    <w:name w:val="Quote Char"/>
    <w:link w:val="691"/>
    <w:uiPriority w:val="29"/>
    <w:rPr>
      <w:i/>
    </w:rPr>
  </w:style>
  <w:style w:type="paragraph" w:styleId="693">
    <w:name w:val="Intense Quote"/>
    <w:basedOn w:val="843"/>
    <w:next w:val="843"/>
    <w:link w:val="69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4">
    <w:name w:val="Intense Quote Char"/>
    <w:link w:val="693"/>
    <w:uiPriority w:val="30"/>
    <w:rPr>
      <w:i/>
    </w:rPr>
  </w:style>
  <w:style w:type="paragraph" w:styleId="695">
    <w:name w:val="Header"/>
    <w:basedOn w:val="843"/>
    <w:link w:val="69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6">
    <w:name w:val="Header Char"/>
    <w:basedOn w:val="844"/>
    <w:link w:val="695"/>
    <w:uiPriority w:val="99"/>
  </w:style>
  <w:style w:type="paragraph" w:styleId="697">
    <w:name w:val="Footer"/>
    <w:basedOn w:val="843"/>
    <w:link w:val="69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8">
    <w:name w:val="Footer Char"/>
    <w:basedOn w:val="844"/>
    <w:link w:val="697"/>
    <w:uiPriority w:val="99"/>
  </w:style>
  <w:style w:type="paragraph" w:styleId="699">
    <w:name w:val="Caption"/>
    <w:basedOn w:val="843"/>
    <w:next w:val="843"/>
    <w:link w:val="70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0">
    <w:name w:val="Caption Char"/>
    <w:basedOn w:val="844"/>
    <w:link w:val="699"/>
    <w:uiPriority w:val="35"/>
    <w:rPr>
      <w:b/>
      <w:bCs/>
      <w:color w:val="4f81bd" w:themeColor="accent1"/>
      <w:sz w:val="18"/>
      <w:szCs w:val="18"/>
    </w:rPr>
  </w:style>
  <w:style w:type="table" w:styleId="701">
    <w:name w:val="Table Grid"/>
    <w:basedOn w:val="845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2">
    <w:name w:val="Table Grid Light"/>
    <w:basedOn w:val="84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3">
    <w:name w:val="Plain Table 1"/>
    <w:basedOn w:val="84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4">
    <w:name w:val="Plain Table 2"/>
    <w:basedOn w:val="84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5">
    <w:name w:val="Plain Table 3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6">
    <w:name w:val="Plain Table 4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Plain Table 5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8">
    <w:name w:val="Grid Table 1 Light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Grid Table 1 Light - Accent 1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Grid Table 1 Light - Accent 2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Grid Table 1 Light - Accent 3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Grid Table 1 Light - Accent 4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Grid Table 1 Light - Accent 5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>
    <w:name w:val="Grid Table 1 Light - Accent 6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Grid Table 2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2 - Accent 1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2 - Accent 2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2 - Accent 3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2 - Accent 4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2 - Accent 5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2 - Accent 6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3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3 - Accent 1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3 - Accent 2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3 - Accent 3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3 - Accent 4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3 - Accent 5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3 - Accent 6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4"/>
    <w:basedOn w:val="84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0">
    <w:name w:val="Grid Table 4 - Accent 1"/>
    <w:basedOn w:val="84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1">
    <w:name w:val="Grid Table 4 - Accent 2"/>
    <w:basedOn w:val="84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2">
    <w:name w:val="Grid Table 4 - Accent 3"/>
    <w:basedOn w:val="84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3">
    <w:name w:val="Grid Table 4 - Accent 4"/>
    <w:basedOn w:val="84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4">
    <w:name w:val="Grid Table 4 - Accent 5"/>
    <w:basedOn w:val="84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5">
    <w:name w:val="Grid Table 4 - Accent 6"/>
    <w:basedOn w:val="84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6">
    <w:name w:val="Grid Table 5 Dark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7">
    <w:name w:val="Grid Table 5 Dark- Accent 1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38">
    <w:name w:val="Grid Table 5 Dark - Accent 2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39">
    <w:name w:val="Grid Table 5 Dark - Accent 3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40">
    <w:name w:val="Grid Table 5 Dark- Accent 4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41">
    <w:name w:val="Grid Table 5 Dark - Accent 5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42">
    <w:name w:val="Grid Table 5 Dark - Accent 6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43">
    <w:name w:val="Grid Table 6 Colorful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44">
    <w:name w:val="Grid Table 6 Colorful - Accent 1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5">
    <w:name w:val="Grid Table 6 Colorful - Accent 2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6">
    <w:name w:val="Grid Table 6 Colorful - Accent 3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7">
    <w:name w:val="Grid Table 6 Colorful - Accent 4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8">
    <w:name w:val="Grid Table 6 Colorful - Accent 5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9">
    <w:name w:val="Grid Table 6 Colorful - Accent 6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0">
    <w:name w:val="Grid Table 7 Colorful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7 Colorful - Accent 1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7 Colorful - Accent 2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7 Colorful - Accent 3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7 Colorful - Accent 4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7 Colorful - Accent 5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7 Colorful - Accent 6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1 Light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List Table 1 Light - Accent 1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List Table 1 Light - Accent 2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List Table 1 Light - Accent 3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List Table 1 Light - Accent 4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List Table 1 Light - Accent 5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List Table 1 Light - Accent 6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List Table 2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5">
    <w:name w:val="List Table 2 - Accent 1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6">
    <w:name w:val="List Table 2 - Accent 2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7">
    <w:name w:val="List Table 2 - Accent 3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8">
    <w:name w:val="List Table 2 - Accent 4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9">
    <w:name w:val="List Table 2 - Accent 5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0">
    <w:name w:val="List Table 2 - Accent 6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1">
    <w:name w:val="List Table 3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3 - Accent 1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3 - Accent 2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3 - Accent 3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3 - Accent 4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3 - Accent 5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3 - Accent 6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4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4 - Accent 1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4 - Accent 2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4 - Accent 3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4 - Accent 4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4 - Accent 5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4 - Accent 6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5 Dark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6">
    <w:name w:val="List Table 5 Dark - Accent 1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7">
    <w:name w:val="List Table 5 Dark - Accent 2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8">
    <w:name w:val="List Table 5 Dark - Accent 3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9">
    <w:name w:val="List Table 5 Dark - Accent 4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0">
    <w:name w:val="List Table 5 Dark - Accent 5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1">
    <w:name w:val="List Table 5 Dark - Accent 6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2">
    <w:name w:val="List Table 6 Colorful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3">
    <w:name w:val="List Table 6 Colorful - Accent 1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4">
    <w:name w:val="List Table 6 Colorful - Accent 2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5">
    <w:name w:val="List Table 6 Colorful - Accent 3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6">
    <w:name w:val="List Table 6 Colorful - Accent 4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7">
    <w:name w:val="List Table 6 Colorful - Accent 5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8">
    <w:name w:val="List Table 6 Colorful - Accent 6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9">
    <w:name w:val="List Table 7 Colorful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0">
    <w:name w:val="List Table 7 Colorful - Accent 1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801">
    <w:name w:val="List Table 7 Colorful - Accent 2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02">
    <w:name w:val="List Table 7 Colorful - Accent 3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03">
    <w:name w:val="List Table 7 Colorful - Accent 4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04">
    <w:name w:val="List Table 7 Colorful - Accent 5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805">
    <w:name w:val="List Table 7 Colorful - Accent 6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06">
    <w:name w:val="Lined - Accent"/>
    <w:basedOn w:val="8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7">
    <w:name w:val="Lined - Accent 1"/>
    <w:basedOn w:val="8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8">
    <w:name w:val="Lined - Accent 2"/>
    <w:basedOn w:val="8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9">
    <w:name w:val="Lined - Accent 3"/>
    <w:basedOn w:val="8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10">
    <w:name w:val="Lined - Accent 4"/>
    <w:basedOn w:val="8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11">
    <w:name w:val="Lined - Accent 5"/>
    <w:basedOn w:val="8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12">
    <w:name w:val="Lined - Accent 6"/>
    <w:basedOn w:val="8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13">
    <w:name w:val="Bordered &amp; Lined - Accent"/>
    <w:basedOn w:val="8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4">
    <w:name w:val="Bordered &amp; Lined - Accent 1"/>
    <w:basedOn w:val="8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15">
    <w:name w:val="Bordered &amp; Lined - Accent 2"/>
    <w:basedOn w:val="8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16">
    <w:name w:val="Bordered &amp; Lined - Accent 3"/>
    <w:basedOn w:val="8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17">
    <w:name w:val="Bordered &amp; Lined - Accent 4"/>
    <w:basedOn w:val="8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18">
    <w:name w:val="Bordered &amp; Lined - Accent 5"/>
    <w:basedOn w:val="8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19">
    <w:name w:val="Bordered &amp; Lined - Accent 6"/>
    <w:basedOn w:val="84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20">
    <w:name w:val="Bordered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1">
    <w:name w:val="Bordered - Accent 1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2">
    <w:name w:val="Bordered - Accent 2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3">
    <w:name w:val="Bordered - Accent 3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4">
    <w:name w:val="Bordered - Accent 4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5">
    <w:name w:val="Bordered - Accent 5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6">
    <w:name w:val="Bordered - Accent 6"/>
    <w:basedOn w:val="84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7">
    <w:name w:val="Hyperlink"/>
    <w:uiPriority w:val="99"/>
    <w:unhideWhenUsed/>
    <w:rPr>
      <w:color w:val="0000ff" w:themeColor="hyperlink"/>
      <w:u w:val="single"/>
    </w:rPr>
  </w:style>
  <w:style w:type="paragraph" w:styleId="828">
    <w:name w:val="footnote text"/>
    <w:basedOn w:val="843"/>
    <w:link w:val="829"/>
    <w:uiPriority w:val="99"/>
    <w:semiHidden/>
    <w:unhideWhenUsed/>
    <w:pPr>
      <w:spacing w:after="40" w:line="240" w:lineRule="auto"/>
    </w:pPr>
    <w:rPr>
      <w:sz w:val="18"/>
    </w:rPr>
  </w:style>
  <w:style w:type="character" w:styleId="829">
    <w:name w:val="Footnote Text Char"/>
    <w:link w:val="828"/>
    <w:uiPriority w:val="99"/>
    <w:rPr>
      <w:sz w:val="18"/>
    </w:rPr>
  </w:style>
  <w:style w:type="character" w:styleId="830">
    <w:name w:val="footnote reference"/>
    <w:basedOn w:val="844"/>
    <w:uiPriority w:val="99"/>
    <w:unhideWhenUsed/>
    <w:rPr>
      <w:vertAlign w:val="superscript"/>
    </w:rPr>
  </w:style>
  <w:style w:type="character" w:styleId="831">
    <w:name w:val="Endnote Text Char"/>
    <w:link w:val="847"/>
    <w:uiPriority w:val="99"/>
    <w:rPr>
      <w:sz w:val="20"/>
    </w:rPr>
  </w:style>
  <w:style w:type="paragraph" w:styleId="832">
    <w:name w:val="toc 1"/>
    <w:basedOn w:val="843"/>
    <w:next w:val="843"/>
    <w:uiPriority w:val="39"/>
    <w:unhideWhenUsed/>
    <w:pPr>
      <w:ind w:left="0" w:right="0" w:firstLine="0"/>
      <w:spacing w:after="57"/>
    </w:pPr>
  </w:style>
  <w:style w:type="paragraph" w:styleId="833">
    <w:name w:val="toc 2"/>
    <w:basedOn w:val="843"/>
    <w:next w:val="843"/>
    <w:uiPriority w:val="39"/>
    <w:unhideWhenUsed/>
    <w:pPr>
      <w:ind w:left="283" w:right="0" w:firstLine="0"/>
      <w:spacing w:after="57"/>
    </w:pPr>
  </w:style>
  <w:style w:type="paragraph" w:styleId="834">
    <w:name w:val="toc 3"/>
    <w:basedOn w:val="843"/>
    <w:next w:val="843"/>
    <w:uiPriority w:val="39"/>
    <w:unhideWhenUsed/>
    <w:pPr>
      <w:ind w:left="567" w:right="0" w:firstLine="0"/>
      <w:spacing w:after="57"/>
    </w:pPr>
  </w:style>
  <w:style w:type="paragraph" w:styleId="835">
    <w:name w:val="toc 4"/>
    <w:basedOn w:val="843"/>
    <w:next w:val="843"/>
    <w:uiPriority w:val="39"/>
    <w:unhideWhenUsed/>
    <w:pPr>
      <w:ind w:left="850" w:right="0" w:firstLine="0"/>
      <w:spacing w:after="57"/>
    </w:pPr>
  </w:style>
  <w:style w:type="paragraph" w:styleId="836">
    <w:name w:val="toc 5"/>
    <w:basedOn w:val="843"/>
    <w:next w:val="843"/>
    <w:uiPriority w:val="39"/>
    <w:unhideWhenUsed/>
    <w:pPr>
      <w:ind w:left="1134" w:right="0" w:firstLine="0"/>
      <w:spacing w:after="57"/>
    </w:pPr>
  </w:style>
  <w:style w:type="paragraph" w:styleId="837">
    <w:name w:val="toc 6"/>
    <w:basedOn w:val="843"/>
    <w:next w:val="843"/>
    <w:uiPriority w:val="39"/>
    <w:unhideWhenUsed/>
    <w:pPr>
      <w:ind w:left="1417" w:right="0" w:firstLine="0"/>
      <w:spacing w:after="57"/>
    </w:pPr>
  </w:style>
  <w:style w:type="paragraph" w:styleId="838">
    <w:name w:val="toc 7"/>
    <w:basedOn w:val="843"/>
    <w:next w:val="843"/>
    <w:uiPriority w:val="39"/>
    <w:unhideWhenUsed/>
    <w:pPr>
      <w:ind w:left="1701" w:right="0" w:firstLine="0"/>
      <w:spacing w:after="57"/>
    </w:pPr>
  </w:style>
  <w:style w:type="paragraph" w:styleId="839">
    <w:name w:val="toc 8"/>
    <w:basedOn w:val="843"/>
    <w:next w:val="843"/>
    <w:uiPriority w:val="39"/>
    <w:unhideWhenUsed/>
    <w:pPr>
      <w:ind w:left="1984" w:right="0" w:firstLine="0"/>
      <w:spacing w:after="57"/>
    </w:pPr>
  </w:style>
  <w:style w:type="paragraph" w:styleId="840">
    <w:name w:val="toc 9"/>
    <w:basedOn w:val="843"/>
    <w:next w:val="843"/>
    <w:uiPriority w:val="39"/>
    <w:unhideWhenUsed/>
    <w:pPr>
      <w:ind w:left="2268" w:right="0" w:firstLine="0"/>
      <w:spacing w:after="57"/>
    </w:pPr>
  </w:style>
  <w:style w:type="paragraph" w:styleId="841">
    <w:name w:val="TOC Heading"/>
    <w:uiPriority w:val="39"/>
    <w:unhideWhenUsed/>
  </w:style>
  <w:style w:type="paragraph" w:styleId="842">
    <w:name w:val="table of figures"/>
    <w:basedOn w:val="843"/>
    <w:next w:val="843"/>
    <w:uiPriority w:val="99"/>
    <w:unhideWhenUsed/>
    <w:pPr>
      <w:spacing w:after="0" w:afterAutospacing="0"/>
    </w:pPr>
  </w:style>
  <w:style w:type="paragraph" w:styleId="843" w:default="1">
    <w:name w:val="Normal"/>
    <w:qFormat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844" w:default="1">
    <w:name w:val="Default Paragraph Font"/>
    <w:uiPriority w:val="1"/>
    <w:semiHidden/>
    <w:unhideWhenUsed/>
  </w:style>
  <w:style w:type="table" w:styleId="84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46" w:default="1">
    <w:name w:val="No List"/>
    <w:uiPriority w:val="99"/>
    <w:semiHidden/>
    <w:unhideWhenUsed/>
  </w:style>
  <w:style w:type="paragraph" w:styleId="847">
    <w:name w:val="endnote text"/>
    <w:basedOn w:val="843"/>
    <w:link w:val="848"/>
    <w:uiPriority w:val="99"/>
    <w:semiHidden/>
    <w:unhideWhenUsed/>
  </w:style>
  <w:style w:type="character" w:styleId="848" w:customStyle="1">
    <w:name w:val="Текст концевой сноски Знак"/>
    <w:basedOn w:val="844"/>
    <w:link w:val="847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849">
    <w:name w:val="endnote reference"/>
    <w:basedOn w:val="844"/>
    <w:uiPriority w:val="99"/>
    <w:semiHidden/>
    <w:unhideWhenUsed/>
    <w:rPr>
      <w:vertAlign w:val="superscript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99C07F-C96A-4243-90C7-3F53AEB6D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DVGK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Дудник Юлия Андреевна</dc:creator>
  <cp:keywords/>
  <dc:description/>
  <cp:lastModifiedBy>starovetckaya_av</cp:lastModifiedBy>
  <cp:revision>6</cp:revision>
  <dcterms:created xsi:type="dcterms:W3CDTF">2018-01-09T01:09:00Z</dcterms:created>
  <dcterms:modified xsi:type="dcterms:W3CDTF">2026-02-11T04:14:15Z</dcterms:modified>
</cp:coreProperties>
</file>